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91" w:type="dxa"/>
        <w:tblLayout w:type="fixed"/>
        <w:tblLook w:val="04A0" w:firstRow="1" w:lastRow="0" w:firstColumn="1" w:lastColumn="0" w:noHBand="0" w:noVBand="1"/>
      </w:tblPr>
      <w:tblGrid>
        <w:gridCol w:w="1008"/>
        <w:gridCol w:w="4140"/>
        <w:gridCol w:w="1350"/>
        <w:gridCol w:w="3193"/>
      </w:tblGrid>
      <w:tr w:rsidR="006B3FE7" w:rsidRPr="006C5C6D" w14:paraId="44DBA71D" w14:textId="77777777">
        <w:tc>
          <w:tcPr>
            <w:tcW w:w="1008" w:type="dxa"/>
            <w:tcBorders>
              <w:top w:val="dotted" w:sz="4" w:space="0" w:color="000000"/>
              <w:left w:val="dotted" w:sz="4" w:space="0" w:color="000000"/>
              <w:bottom w:val="dotted" w:sz="4" w:space="0" w:color="000000"/>
            </w:tcBorders>
            <w:vAlign w:val="center"/>
          </w:tcPr>
          <w:p w14:paraId="669DFB82" w14:textId="77777777" w:rsidR="006B3FE7" w:rsidRPr="006C5C6D" w:rsidRDefault="00000000">
            <w:pPr>
              <w:rPr>
                <w:rFonts w:ascii="Aptos" w:hAnsi="Aptos"/>
                <w:sz w:val="22"/>
                <w:szCs w:val="22"/>
              </w:rPr>
            </w:pPr>
            <w:r w:rsidRPr="006C5C6D">
              <w:rPr>
                <w:rFonts w:ascii="Aptos" w:hAnsi="Aptos"/>
                <w:sz w:val="22"/>
                <w:szCs w:val="22"/>
              </w:rPr>
              <w:t>Section:</w:t>
            </w:r>
          </w:p>
        </w:tc>
        <w:tc>
          <w:tcPr>
            <w:tcW w:w="4140" w:type="dxa"/>
            <w:tcBorders>
              <w:top w:val="dotted" w:sz="4" w:space="0" w:color="000000"/>
              <w:bottom w:val="dotted" w:sz="4" w:space="0" w:color="000000"/>
              <w:right w:val="dotted" w:sz="4" w:space="0" w:color="000000"/>
            </w:tcBorders>
            <w:vAlign w:val="center"/>
          </w:tcPr>
          <w:p w14:paraId="55C6A88F" w14:textId="77777777" w:rsidR="006B3FE7" w:rsidRPr="006C5C6D" w:rsidRDefault="00000000">
            <w:pPr>
              <w:rPr>
                <w:rFonts w:ascii="Aptos" w:hAnsi="Aptos"/>
                <w:b/>
                <w:sz w:val="22"/>
                <w:szCs w:val="22"/>
              </w:rPr>
            </w:pPr>
            <w:r w:rsidRPr="006C5C6D">
              <w:rPr>
                <w:rFonts w:ascii="Aptos" w:hAnsi="Aptos"/>
                <w:b/>
                <w:sz w:val="22"/>
                <w:szCs w:val="22"/>
              </w:rPr>
              <w:t>Section 1 Rights and Ethics</w:t>
            </w:r>
          </w:p>
        </w:tc>
        <w:tc>
          <w:tcPr>
            <w:tcW w:w="1350" w:type="dxa"/>
            <w:tcBorders>
              <w:top w:val="dotted" w:sz="4" w:space="0" w:color="000000"/>
              <w:left w:val="dotted" w:sz="4" w:space="0" w:color="000000"/>
              <w:bottom w:val="dotted" w:sz="4" w:space="0" w:color="000000"/>
            </w:tcBorders>
            <w:vAlign w:val="center"/>
          </w:tcPr>
          <w:p w14:paraId="413D49DF" w14:textId="77777777" w:rsidR="006B3FE7" w:rsidRPr="006C5C6D" w:rsidRDefault="00000000">
            <w:pPr>
              <w:rPr>
                <w:rFonts w:ascii="Aptos" w:hAnsi="Aptos"/>
                <w:sz w:val="22"/>
                <w:szCs w:val="22"/>
              </w:rPr>
            </w:pPr>
            <w:r w:rsidRPr="006C5C6D">
              <w:rPr>
                <w:rFonts w:ascii="Aptos" w:hAnsi="Aptos"/>
                <w:sz w:val="22"/>
                <w:szCs w:val="22"/>
              </w:rPr>
              <w:t>Effective:</w:t>
            </w:r>
          </w:p>
        </w:tc>
        <w:tc>
          <w:tcPr>
            <w:tcW w:w="3193" w:type="dxa"/>
            <w:tcBorders>
              <w:top w:val="dotted" w:sz="4" w:space="0" w:color="000000"/>
              <w:bottom w:val="dotted" w:sz="4" w:space="0" w:color="000000"/>
              <w:right w:val="dotted" w:sz="4" w:space="0" w:color="000000"/>
            </w:tcBorders>
            <w:vAlign w:val="center"/>
          </w:tcPr>
          <w:p w14:paraId="6747B445" w14:textId="77777777" w:rsidR="006B3FE7" w:rsidRPr="006C5C6D" w:rsidRDefault="00000000">
            <w:pPr>
              <w:rPr>
                <w:rFonts w:ascii="Aptos" w:hAnsi="Aptos"/>
                <w:sz w:val="22"/>
                <w:szCs w:val="22"/>
              </w:rPr>
            </w:pPr>
            <w:r w:rsidRPr="006C5C6D">
              <w:rPr>
                <w:rFonts w:ascii="Aptos" w:hAnsi="Aptos"/>
                <w:sz w:val="22"/>
                <w:szCs w:val="22"/>
              </w:rPr>
              <w:t>6/9/16</w:t>
            </w:r>
          </w:p>
        </w:tc>
      </w:tr>
      <w:tr w:rsidR="006B3FE7" w:rsidRPr="006C5C6D" w14:paraId="5F81382D" w14:textId="77777777">
        <w:tc>
          <w:tcPr>
            <w:tcW w:w="1008" w:type="dxa"/>
            <w:tcBorders>
              <w:top w:val="dotted" w:sz="4" w:space="0" w:color="000000"/>
              <w:left w:val="dotted" w:sz="4" w:space="0" w:color="000000"/>
              <w:bottom w:val="dotted" w:sz="4" w:space="0" w:color="000000"/>
            </w:tcBorders>
            <w:vAlign w:val="center"/>
          </w:tcPr>
          <w:p w14:paraId="39A6DA87" w14:textId="77777777" w:rsidR="006B3FE7" w:rsidRPr="006C5C6D" w:rsidRDefault="00000000">
            <w:pPr>
              <w:rPr>
                <w:rFonts w:ascii="Aptos" w:hAnsi="Aptos"/>
                <w:sz w:val="22"/>
                <w:szCs w:val="22"/>
              </w:rPr>
            </w:pPr>
            <w:r w:rsidRPr="006C5C6D">
              <w:rPr>
                <w:rFonts w:ascii="Aptos" w:hAnsi="Aptos"/>
                <w:sz w:val="22"/>
                <w:szCs w:val="22"/>
              </w:rPr>
              <w:t>Subject:</w:t>
            </w:r>
          </w:p>
        </w:tc>
        <w:tc>
          <w:tcPr>
            <w:tcW w:w="4140" w:type="dxa"/>
            <w:tcBorders>
              <w:top w:val="dotted" w:sz="4" w:space="0" w:color="000000"/>
              <w:bottom w:val="dotted" w:sz="4" w:space="0" w:color="000000"/>
              <w:right w:val="dotted" w:sz="4" w:space="0" w:color="000000"/>
            </w:tcBorders>
            <w:vAlign w:val="center"/>
          </w:tcPr>
          <w:p w14:paraId="511A4276" w14:textId="77777777" w:rsidR="006B3FE7" w:rsidRPr="006C5C6D" w:rsidRDefault="00000000">
            <w:pPr>
              <w:rPr>
                <w:rFonts w:ascii="Aptos" w:hAnsi="Aptos" w:cs="Times New Roman"/>
                <w:b/>
                <w:sz w:val="22"/>
                <w:szCs w:val="22"/>
              </w:rPr>
            </w:pPr>
            <w:r w:rsidRPr="006C5C6D">
              <w:rPr>
                <w:rFonts w:ascii="Aptos" w:hAnsi="Aptos" w:cs="Times New Roman"/>
                <w:b/>
                <w:sz w:val="22"/>
                <w:szCs w:val="22"/>
              </w:rPr>
              <w:t xml:space="preserve">End of Life Option Act </w:t>
            </w:r>
          </w:p>
        </w:tc>
        <w:tc>
          <w:tcPr>
            <w:tcW w:w="1350" w:type="dxa"/>
            <w:tcBorders>
              <w:top w:val="dotted" w:sz="4" w:space="0" w:color="000000"/>
              <w:left w:val="dotted" w:sz="4" w:space="0" w:color="000000"/>
              <w:bottom w:val="dotted" w:sz="4" w:space="0" w:color="000000"/>
            </w:tcBorders>
            <w:vAlign w:val="center"/>
          </w:tcPr>
          <w:p w14:paraId="77748567" w14:textId="77777777" w:rsidR="006B3FE7" w:rsidRPr="006C5C6D" w:rsidRDefault="00000000">
            <w:pPr>
              <w:rPr>
                <w:rFonts w:ascii="Aptos" w:hAnsi="Aptos"/>
                <w:sz w:val="22"/>
                <w:szCs w:val="22"/>
              </w:rPr>
            </w:pPr>
            <w:r w:rsidRPr="006C5C6D">
              <w:rPr>
                <w:rFonts w:ascii="Aptos" w:hAnsi="Aptos"/>
                <w:sz w:val="22"/>
                <w:szCs w:val="22"/>
              </w:rPr>
              <w:t>Reviewed/</w:t>
            </w:r>
          </w:p>
          <w:p w14:paraId="4C2EA6C5" w14:textId="77777777" w:rsidR="006B3FE7" w:rsidRPr="006C5C6D" w:rsidRDefault="00000000">
            <w:pPr>
              <w:rPr>
                <w:rFonts w:ascii="Aptos" w:hAnsi="Aptos"/>
                <w:sz w:val="22"/>
                <w:szCs w:val="22"/>
              </w:rPr>
            </w:pPr>
            <w:r w:rsidRPr="006C5C6D">
              <w:rPr>
                <w:rFonts w:ascii="Aptos" w:hAnsi="Aptos"/>
                <w:sz w:val="22"/>
                <w:szCs w:val="22"/>
              </w:rPr>
              <w:t>Revised:</w:t>
            </w:r>
          </w:p>
        </w:tc>
        <w:tc>
          <w:tcPr>
            <w:tcW w:w="3193" w:type="dxa"/>
            <w:tcBorders>
              <w:top w:val="dotted" w:sz="4" w:space="0" w:color="000000"/>
              <w:bottom w:val="dotted" w:sz="4" w:space="0" w:color="000000"/>
              <w:right w:val="dotted" w:sz="4" w:space="0" w:color="000000"/>
            </w:tcBorders>
            <w:vAlign w:val="center"/>
          </w:tcPr>
          <w:p w14:paraId="34C0B234" w14:textId="77777777" w:rsidR="006B3FE7" w:rsidRPr="006C5C6D" w:rsidRDefault="00000000">
            <w:pPr>
              <w:rPr>
                <w:rFonts w:ascii="Aptos" w:hAnsi="Aptos"/>
                <w:sz w:val="22"/>
                <w:szCs w:val="22"/>
              </w:rPr>
            </w:pPr>
            <w:r w:rsidRPr="006C5C6D">
              <w:rPr>
                <w:rFonts w:ascii="Aptos" w:hAnsi="Aptos"/>
                <w:sz w:val="22"/>
                <w:szCs w:val="22"/>
              </w:rPr>
              <w:t>1/23/17, 2/8/18, 6/1/21, 2/11/22, 6/1/23, 7/23/24, 12/12/24, 3/27/25, 9/5/26</w:t>
            </w:r>
          </w:p>
        </w:tc>
      </w:tr>
    </w:tbl>
    <w:p w14:paraId="7B54F487" w14:textId="77777777" w:rsidR="006B3FE7" w:rsidRPr="006C5C6D" w:rsidRDefault="006B3FE7">
      <w:pPr>
        <w:rPr>
          <w:rFonts w:ascii="Aptos" w:hAnsi="Aptos"/>
          <w:sz w:val="22"/>
          <w:szCs w:val="22"/>
        </w:rPr>
      </w:pPr>
    </w:p>
    <w:p w14:paraId="0535EB9D" w14:textId="77777777" w:rsidR="006B3FE7" w:rsidRPr="006C5C6D" w:rsidRDefault="00000000">
      <w:pPr>
        <w:spacing w:before="120" w:after="60"/>
        <w:rPr>
          <w:rFonts w:ascii="Aptos" w:hAnsi="Aptos"/>
          <w:sz w:val="22"/>
          <w:szCs w:val="22"/>
        </w:rPr>
      </w:pPr>
      <w:r w:rsidRPr="006C5C6D">
        <w:rPr>
          <w:rFonts w:ascii="Aptos" w:hAnsi="Aptos"/>
          <w:b/>
          <w:sz w:val="22"/>
          <w:szCs w:val="22"/>
        </w:rPr>
        <w:t>Purpose</w:t>
      </w:r>
    </w:p>
    <w:p w14:paraId="009C9039" w14:textId="77777777" w:rsidR="006B3FE7" w:rsidRPr="006C5C6D" w:rsidRDefault="00000000">
      <w:pPr>
        <w:spacing w:after="80"/>
        <w:rPr>
          <w:rFonts w:ascii="Aptos" w:hAnsi="Aptos"/>
          <w:sz w:val="22"/>
          <w:szCs w:val="22"/>
        </w:rPr>
      </w:pPr>
      <w:r w:rsidRPr="006C5C6D">
        <w:rPr>
          <w:rFonts w:ascii="Aptos" w:hAnsi="Aptos"/>
          <w:sz w:val="22"/>
          <w:szCs w:val="22"/>
        </w:rPr>
        <w:t>To establish Family Hospice Care's (FHC) response when a patient requests information about or expresses interest in California's End of Life Option Act (EOLOA), while respecting patient rights, maintaining hospice support, and clearly defining the agency's nonparticipation in prescribing or acting as a participating provider under the Act.</w:t>
      </w:r>
    </w:p>
    <w:p w14:paraId="1155984D" w14:textId="77777777" w:rsidR="006B3FE7" w:rsidRPr="006C5C6D" w:rsidRDefault="00000000">
      <w:pPr>
        <w:spacing w:before="120" w:after="60"/>
        <w:rPr>
          <w:rFonts w:ascii="Aptos" w:hAnsi="Aptos"/>
          <w:sz w:val="22"/>
          <w:szCs w:val="22"/>
        </w:rPr>
      </w:pPr>
      <w:r w:rsidRPr="006C5C6D">
        <w:rPr>
          <w:rFonts w:ascii="Aptos" w:hAnsi="Aptos"/>
          <w:b/>
          <w:sz w:val="22"/>
          <w:szCs w:val="22"/>
        </w:rPr>
        <w:t>Policy</w:t>
      </w:r>
    </w:p>
    <w:p w14:paraId="1BC0814A" w14:textId="77777777" w:rsidR="006B3FE7" w:rsidRPr="006C5C6D" w:rsidRDefault="00000000">
      <w:pPr>
        <w:spacing w:after="80"/>
        <w:rPr>
          <w:rFonts w:ascii="Aptos" w:hAnsi="Aptos"/>
          <w:sz w:val="22"/>
          <w:szCs w:val="22"/>
        </w:rPr>
      </w:pPr>
      <w:r w:rsidRPr="006C5C6D">
        <w:rPr>
          <w:rFonts w:ascii="Aptos" w:hAnsi="Aptos"/>
          <w:sz w:val="22"/>
          <w:szCs w:val="22"/>
        </w:rPr>
        <w:t>The California End of Life Option Act permits a qualified adult California resident with a terminal disease and capacity to make medical decisions to request a prescription for an aid-in-dying drug from a participating physician, subject to statutory safeguards. Participation by an individual health care provider is voluntary.</w:t>
      </w:r>
    </w:p>
    <w:p w14:paraId="432CC584" w14:textId="77777777" w:rsidR="006B3FE7" w:rsidRPr="006C5C6D" w:rsidRDefault="00000000">
      <w:pPr>
        <w:spacing w:after="80"/>
        <w:rPr>
          <w:rFonts w:ascii="Aptos" w:hAnsi="Aptos"/>
          <w:sz w:val="22"/>
          <w:szCs w:val="22"/>
        </w:rPr>
      </w:pPr>
      <w:r w:rsidRPr="006C5C6D">
        <w:rPr>
          <w:rFonts w:ascii="Aptos" w:hAnsi="Aptos"/>
          <w:sz w:val="22"/>
          <w:szCs w:val="22"/>
        </w:rPr>
        <w:t>FHC does not participate as a prescribing or consulting provider in the End of Life Option Act. FHC will not abandon, discharge, discriminate against, or reduce otherwise appropriate hospice care solely because a patient asks about, pursues, receives, or chooses not to use an aid-in-dying drug. FHC will continue to provide hospice care focused on comfort, symptom management, psychosocial and spiritual support, caregiver education, and informed patient choice.</w:t>
      </w:r>
    </w:p>
    <w:p w14:paraId="27A2420B" w14:textId="77777777" w:rsidR="006B3FE7" w:rsidRPr="006C5C6D" w:rsidRDefault="00000000">
      <w:pPr>
        <w:spacing w:after="80"/>
        <w:rPr>
          <w:rFonts w:ascii="Aptos" w:hAnsi="Aptos"/>
          <w:sz w:val="22"/>
          <w:szCs w:val="22"/>
        </w:rPr>
      </w:pPr>
      <w:r w:rsidRPr="006C5C6D">
        <w:rPr>
          <w:rFonts w:ascii="Aptos" w:hAnsi="Aptos"/>
          <w:sz w:val="22"/>
          <w:szCs w:val="22"/>
        </w:rPr>
        <w:t>Only the patient may make the statutory request for an aid-in-dying drug. A health care agent, surrogate, conservator, family member, or other representative may not make the request on the patient's behalf. A request for aid-in-dying medication may not be made through an advance health care directive.</w:t>
      </w:r>
    </w:p>
    <w:p w14:paraId="16CC5D24" w14:textId="77777777" w:rsidR="006B3FE7" w:rsidRPr="006C5C6D" w:rsidRDefault="00000000">
      <w:pPr>
        <w:spacing w:before="120" w:after="60"/>
        <w:rPr>
          <w:rFonts w:ascii="Aptos" w:hAnsi="Aptos"/>
          <w:sz w:val="22"/>
          <w:szCs w:val="22"/>
        </w:rPr>
      </w:pPr>
      <w:r w:rsidRPr="006C5C6D">
        <w:rPr>
          <w:rFonts w:ascii="Aptos" w:hAnsi="Aptos"/>
          <w:b/>
          <w:sz w:val="22"/>
          <w:szCs w:val="22"/>
        </w:rPr>
        <w:t>Procedure</w:t>
      </w:r>
    </w:p>
    <w:p w14:paraId="391DE9F2"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1. When a patient expresses interest in the End of Life Option Act, staff will respond respectfully, assess for immediate symptom distress or safety concerns, notify the RN case manager and hospice physician/medical director, and document the patient's request using the patient's own words when possible.</w:t>
      </w:r>
    </w:p>
    <w:p w14:paraId="4BA4C7C6"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2. FHC staff may provide neutral, factual information regarding the existence of the law, FHC's participation policy, hospice and palliative options, and how the patient may obtain information about participating providers. Staff will not coerce, pressure, encourage, or discourage a patient to request or use an aid-in-dying drug.</w:t>
      </w:r>
    </w:p>
    <w:p w14:paraId="0B90CF20"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3. FHC will facilitate access to a participating provider or appropriate external resource when requested by the patient, consistent with California law and the agency's nonparticipation position. Referral assistance does not make FHC a participating prescribing or consulting provider.</w:t>
      </w:r>
    </w:p>
    <w:p w14:paraId="4D66AA15"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4. FHC physicians and other clinicians acting on behalf of FHC will not prescribe the aid-in-dying drug or serve as the statutory participating consulting provider under this agency policy. Clinicians who have separate legal obligations or rights outside their FHC role will follow applicable law and contractual requirements.</w:t>
      </w:r>
    </w:p>
    <w:p w14:paraId="7697CEF4"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5. FHC staff will not attest to statutory eligibility unless specifically authorized to do so under law and FHC policy. Eligibility determinations, required requests, waiting periods, forms, counseling, and prescribing responsibilities remain with participating providers.</w:t>
      </w:r>
    </w:p>
    <w:p w14:paraId="38EB52FD"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 xml:space="preserve">6. Staff will educate the patient that the law requires the patient to meet statutory qualifications, including adulthood, California residency, terminal disease with a prognosis of six months or less, </w:t>
      </w:r>
      <w:r w:rsidRPr="006C5C6D">
        <w:rPr>
          <w:rFonts w:ascii="Aptos" w:hAnsi="Aptos"/>
          <w:sz w:val="22"/>
          <w:szCs w:val="22"/>
        </w:rPr>
        <w:lastRenderedPageBreak/>
        <w:t>capacity to make medical decisions, and the ability to self-administer the aid-in-dying drug. Current statutory procedures and forms will be verified through CDPH rather than reproduced in full in this policy.</w:t>
      </w:r>
    </w:p>
    <w:p w14:paraId="36DB8090"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7. As of the current law, the waiting period between the first and second oral requests is at least 48 hours, subject to statutory exceptions. Staff will direct the patient and participating provider to current CDPH forms and requirements because the law may change.</w:t>
      </w:r>
    </w:p>
    <w:p w14:paraId="1DDFE730"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8. A patient may withdraw or rescind a request at any time. Receipt of an aid-in-dying drug does not require the patient to ingest it.</w:t>
      </w:r>
    </w:p>
    <w:p w14:paraId="31B4CBDE"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9. If FHC becomes aware that a patient possesses an aid-in-dying drug, the IDG will continue to assess symptoms, medication safety, caregiver needs, psychosocial/spiritual concerns, and emergency planning within the hospice scope. FHC will not administer the aid-in-dying drug or assist the patient in ingesting it.</w:t>
      </w:r>
    </w:p>
    <w:p w14:paraId="7FFDDCA9" w14:textId="77777777" w:rsidR="006B3FE7" w:rsidRPr="006C5C6D" w:rsidRDefault="00000000">
      <w:pPr>
        <w:spacing w:after="60"/>
        <w:ind w:left="259" w:hanging="259"/>
        <w:rPr>
          <w:rFonts w:ascii="Aptos" w:hAnsi="Aptos"/>
          <w:sz w:val="22"/>
          <w:szCs w:val="22"/>
        </w:rPr>
      </w:pPr>
      <w:r w:rsidRPr="006C5C6D">
        <w:rPr>
          <w:rFonts w:ascii="Aptos" w:hAnsi="Aptos"/>
          <w:sz w:val="22"/>
          <w:szCs w:val="22"/>
        </w:rPr>
        <w:t>10. Language assistance and disability-related communication aids will be provided as needed. Any interpreter used for statutory EOLOA forms or declarations must meet the requirements of California law and the participating provider's process.</w:t>
      </w:r>
    </w:p>
    <w:p w14:paraId="49073781" w14:textId="77777777" w:rsidR="006B3FE7" w:rsidRDefault="00000000">
      <w:pPr>
        <w:spacing w:after="60"/>
        <w:ind w:left="259" w:hanging="259"/>
        <w:rPr>
          <w:rFonts w:ascii="Aptos" w:hAnsi="Aptos"/>
          <w:sz w:val="22"/>
          <w:szCs w:val="22"/>
        </w:rPr>
      </w:pPr>
      <w:r w:rsidRPr="006C5C6D">
        <w:rPr>
          <w:rFonts w:ascii="Aptos" w:hAnsi="Aptos"/>
          <w:sz w:val="22"/>
          <w:szCs w:val="22"/>
        </w:rPr>
        <w:t>11. After a patient's death, FHC will complete its usual death, bereavement, medication-disposal, and documentation processes. Staff will not characterize a death resulting from lawful use of an aid-in-dying drug as suicide when California law provides otherwise.</w:t>
      </w:r>
    </w:p>
    <w:p w14:paraId="2DC586DA" w14:textId="77777777" w:rsidR="00EC317B" w:rsidRPr="006C5C6D" w:rsidRDefault="00EC317B">
      <w:pPr>
        <w:spacing w:after="60"/>
        <w:ind w:left="259" w:hanging="259"/>
        <w:rPr>
          <w:rFonts w:ascii="Aptos" w:hAnsi="Aptos"/>
          <w:sz w:val="22"/>
          <w:szCs w:val="22"/>
        </w:rPr>
      </w:pPr>
    </w:p>
    <w:p w14:paraId="34E9304C" w14:textId="77777777" w:rsidR="006B3FE7" w:rsidRPr="006C5C6D" w:rsidRDefault="00000000">
      <w:pPr>
        <w:spacing w:before="120" w:after="60"/>
        <w:rPr>
          <w:rFonts w:ascii="Aptos" w:hAnsi="Aptos"/>
          <w:sz w:val="22"/>
          <w:szCs w:val="22"/>
        </w:rPr>
      </w:pPr>
      <w:r w:rsidRPr="006C5C6D">
        <w:rPr>
          <w:rFonts w:ascii="Aptos" w:hAnsi="Aptos"/>
          <w:b/>
          <w:sz w:val="22"/>
          <w:szCs w:val="22"/>
        </w:rPr>
        <w:t>References</w:t>
      </w:r>
    </w:p>
    <w:p w14:paraId="70EEA4AE" w14:textId="4F7B3E70" w:rsidR="006B3FE7" w:rsidRPr="006C5C6D" w:rsidRDefault="00000000">
      <w:pPr>
        <w:spacing w:after="40"/>
        <w:ind w:left="432" w:hanging="216"/>
        <w:rPr>
          <w:rFonts w:ascii="Aptos" w:hAnsi="Aptos"/>
          <w:sz w:val="22"/>
          <w:szCs w:val="22"/>
        </w:rPr>
      </w:pPr>
      <w:r w:rsidRPr="006C5C6D">
        <w:rPr>
          <w:rFonts w:ascii="Aptos" w:hAnsi="Aptos"/>
          <w:sz w:val="22"/>
          <w:szCs w:val="22"/>
        </w:rPr>
        <w:t>California Health and Safety Code, Division 1, Part 1.85, §§ 443-443.22 - End of Life Option Act, as amended.</w:t>
      </w:r>
    </w:p>
    <w:p w14:paraId="0E309595" w14:textId="397EB363" w:rsidR="006B3FE7" w:rsidRPr="006C5C6D" w:rsidRDefault="00000000">
      <w:pPr>
        <w:spacing w:after="40"/>
        <w:ind w:left="432" w:hanging="216"/>
        <w:rPr>
          <w:rFonts w:ascii="Aptos" w:hAnsi="Aptos"/>
          <w:sz w:val="22"/>
          <w:szCs w:val="22"/>
        </w:rPr>
      </w:pPr>
      <w:r w:rsidRPr="006C5C6D">
        <w:rPr>
          <w:rFonts w:ascii="Aptos" w:hAnsi="Aptos"/>
          <w:sz w:val="22"/>
          <w:szCs w:val="22"/>
        </w:rPr>
        <w:t>California Department of Public Health (CDPH) - End of Life Option Act: current provider/patient forms, FAQs, reporting instructions, and annual reports.</w:t>
      </w:r>
    </w:p>
    <w:p w14:paraId="78E73E08" w14:textId="3AC14A3E" w:rsidR="006B3FE7" w:rsidRPr="006C5C6D" w:rsidRDefault="00000000">
      <w:pPr>
        <w:spacing w:after="40"/>
        <w:ind w:left="432" w:hanging="216"/>
        <w:rPr>
          <w:rFonts w:ascii="Aptos" w:hAnsi="Aptos"/>
          <w:sz w:val="22"/>
          <w:szCs w:val="22"/>
        </w:rPr>
      </w:pPr>
      <w:r w:rsidRPr="006C5C6D">
        <w:rPr>
          <w:rFonts w:ascii="Aptos" w:hAnsi="Aptos"/>
          <w:sz w:val="22"/>
          <w:szCs w:val="22"/>
        </w:rPr>
        <w:t>California Senate Bill 380 (2021) - amendments effective January 1, 2022, including the 48-hour minimum between oral requests and revised forms.</w:t>
      </w:r>
    </w:p>
    <w:p w14:paraId="5A43AEFE" w14:textId="7667FDDC" w:rsidR="006B3FE7" w:rsidRPr="006C5C6D" w:rsidRDefault="00000000">
      <w:pPr>
        <w:spacing w:after="40"/>
        <w:ind w:left="432" w:hanging="216"/>
        <w:rPr>
          <w:rFonts w:ascii="Aptos" w:hAnsi="Aptos"/>
          <w:sz w:val="22"/>
          <w:szCs w:val="22"/>
        </w:rPr>
      </w:pPr>
      <w:r w:rsidRPr="006C5C6D">
        <w:rPr>
          <w:rFonts w:ascii="Aptos" w:hAnsi="Aptos"/>
          <w:sz w:val="22"/>
          <w:szCs w:val="22"/>
        </w:rPr>
        <w:t xml:space="preserve"> 2 CFR § 418.52 - Hospice Patient Rights.</w:t>
      </w:r>
    </w:p>
    <w:p w14:paraId="719D2A4D" w14:textId="126405DA" w:rsidR="006B3FE7" w:rsidRPr="006C5C6D" w:rsidRDefault="00000000">
      <w:pPr>
        <w:spacing w:after="40"/>
        <w:ind w:left="432" w:hanging="216"/>
        <w:rPr>
          <w:rFonts w:ascii="Aptos" w:hAnsi="Aptos"/>
          <w:sz w:val="22"/>
          <w:szCs w:val="22"/>
        </w:rPr>
      </w:pPr>
      <w:r w:rsidRPr="006C5C6D">
        <w:rPr>
          <w:rFonts w:ascii="Aptos" w:hAnsi="Aptos"/>
          <w:sz w:val="22"/>
          <w:szCs w:val="22"/>
        </w:rPr>
        <w:t>42 CFR §§ 418.54 and 418.56 - Comprehensive assessment and interdisciplinary plan of care.</w:t>
      </w:r>
    </w:p>
    <w:p w14:paraId="356CB89F" w14:textId="49BF5C28" w:rsidR="006B3FE7" w:rsidRPr="006C5C6D" w:rsidRDefault="00000000">
      <w:pPr>
        <w:spacing w:after="40"/>
        <w:ind w:left="432" w:hanging="216"/>
        <w:rPr>
          <w:rFonts w:ascii="Aptos" w:hAnsi="Aptos"/>
          <w:sz w:val="22"/>
          <w:szCs w:val="22"/>
        </w:rPr>
      </w:pPr>
      <w:r w:rsidRPr="006C5C6D">
        <w:rPr>
          <w:rFonts w:ascii="Aptos" w:hAnsi="Aptos"/>
          <w:sz w:val="22"/>
          <w:szCs w:val="22"/>
        </w:rPr>
        <w:t>California Probate Code, Division 4.7 - Health Care Decisions, as applicable.</w:t>
      </w:r>
    </w:p>
    <w:p w14:paraId="26F36DED" w14:textId="5D86985C" w:rsidR="006B3FE7" w:rsidRPr="006C5C6D" w:rsidRDefault="00000000">
      <w:pPr>
        <w:spacing w:after="40"/>
        <w:ind w:left="432" w:hanging="216"/>
        <w:rPr>
          <w:rFonts w:ascii="Aptos" w:hAnsi="Aptos"/>
          <w:sz w:val="22"/>
          <w:szCs w:val="22"/>
        </w:rPr>
      </w:pPr>
      <w:r w:rsidRPr="006C5C6D">
        <w:rPr>
          <w:rFonts w:ascii="Aptos" w:hAnsi="Aptos"/>
          <w:sz w:val="22"/>
          <w:szCs w:val="22"/>
        </w:rPr>
        <w:t>California Hospice and Palliative Care Association (CHAPCA) - current End of Life Option Act and hospice practice resources, as applicable.</w:t>
      </w:r>
    </w:p>
    <w:p w14:paraId="63CCDF7B" w14:textId="355968C1" w:rsidR="006B3FE7" w:rsidRPr="006C5C6D" w:rsidRDefault="00000000">
      <w:pPr>
        <w:spacing w:after="40"/>
        <w:ind w:left="432" w:hanging="216"/>
        <w:rPr>
          <w:rFonts w:ascii="Aptos" w:hAnsi="Aptos"/>
          <w:sz w:val="22"/>
          <w:szCs w:val="22"/>
        </w:rPr>
      </w:pPr>
      <w:r w:rsidRPr="006C5C6D">
        <w:rPr>
          <w:rFonts w:ascii="Aptos" w:hAnsi="Aptos"/>
          <w:sz w:val="22"/>
          <w:szCs w:val="22"/>
        </w:rPr>
        <w:t xml:space="preserve"> Evidence-based hospice and palliative nursing principles for symptom management, informed decision-making, psychosocial/spiritual support, and nonabandonment.</w:t>
      </w:r>
    </w:p>
    <w:sectPr w:rsidR="006B3FE7" w:rsidRPr="006C5C6D">
      <w:headerReference w:type="default" r:id="rId7"/>
      <w:pgSz w:w="12240" w:h="15840"/>
      <w:pgMar w:top="776" w:right="720" w:bottom="1008" w:left="180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47512" w14:textId="77777777" w:rsidR="00B61FF5" w:rsidRDefault="00B61FF5">
      <w:r>
        <w:separator/>
      </w:r>
    </w:p>
  </w:endnote>
  <w:endnote w:type="continuationSeparator" w:id="0">
    <w:p w14:paraId="69B597B8" w14:textId="77777777" w:rsidR="00B61FF5" w:rsidRDefault="00B61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521EEB" w14:textId="77777777" w:rsidR="00B61FF5" w:rsidRDefault="00B61FF5">
      <w:r>
        <w:separator/>
      </w:r>
    </w:p>
  </w:footnote>
  <w:footnote w:type="continuationSeparator" w:id="0">
    <w:p w14:paraId="4754FF73" w14:textId="77777777" w:rsidR="00B61FF5" w:rsidRDefault="00B61F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7E886" w14:textId="60590C7F" w:rsidR="006B3FE7" w:rsidRDefault="00344747">
    <w:pPr>
      <w:tabs>
        <w:tab w:val="right" w:pos="9360"/>
      </w:tabs>
    </w:pPr>
    <w:r>
      <w:rPr>
        <w:noProof/>
      </w:rPr>
      <mc:AlternateContent>
        <mc:Choice Requires="wps">
          <w:drawing>
            <wp:anchor distT="4294967295" distB="4294967295" distL="114935" distR="114935" simplePos="0" relativeHeight="251657728" behindDoc="1" locked="0" layoutInCell="1" allowOverlap="1" wp14:anchorId="2B8D2A9B" wp14:editId="170971A2">
              <wp:simplePos x="0" y="0"/>
              <wp:positionH relativeFrom="column">
                <wp:posOffset>0</wp:posOffset>
              </wp:positionH>
              <wp:positionV relativeFrom="paragraph">
                <wp:posOffset>187324</wp:posOffset>
              </wp:positionV>
              <wp:extent cx="5943600" cy="0"/>
              <wp:effectExtent l="0" t="0" r="0" b="0"/>
              <wp:wrapNone/>
              <wp:docPr id="80860943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43600" cy="0"/>
                      </a:xfrm>
                      <a:prstGeom prst="line">
                        <a:avLst/>
                      </a:prstGeom>
                      <a:noFill/>
                      <a:ln w="9360">
                        <a:solidFill>
                          <a:srgbClr val="000000"/>
                        </a:solidFill>
                        <a:miter/>
                      </a:ln>
                      <a:effectLst/>
                    </wps:spPr>
                    <wps:bodyPr/>
                  </wps:wsp>
                </a:graphicData>
              </a:graphic>
              <wp14:sizeRelH relativeFrom="page">
                <wp14:pctWidth>0</wp14:pctWidth>
              </wp14:sizeRelH>
              <wp14:sizeRelV relativeFrom="page">
                <wp14:pctHeight>0</wp14:pctHeight>
              </wp14:sizeRelV>
            </wp:anchor>
          </w:drawing>
        </mc:Choice>
        <mc:Fallback>
          <w:pict>
            <v:line w14:anchorId="61D740E2" id="Straight Connector 1" o:spid="_x0000_s1026" style="position:absolute;z-index:-251658752;visibility:visible;mso-wrap-style:square;mso-width-percent:0;mso-height-percent:0;mso-wrap-distance-left:9.05pt;mso-wrap-distance-top:-3e-5mm;mso-wrap-distance-right:9.05pt;mso-wrap-distance-bottom:-3e-5mm;mso-position-horizontal:absolute;mso-position-horizontal-relative:text;mso-position-vertical:absolute;mso-position-vertical-relative:text;mso-width-percent:0;mso-height-percent:0;mso-width-relative:page;mso-height-relative:page" from="0,14.75pt" to="468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" strokeweight=".26mm">
              <v:stroke joinstyle="miter"/>
              <o:lock v:ext="edit" shapetype="f"/>
            </v:line>
          </w:pict>
        </mc:Fallback>
      </mc:AlternateContent>
    </w:r>
    <w:r w:rsidR="006C5C6D">
      <w:rPr>
        <w:rFonts w:ascii="Georgia" w:hAnsi="Georgia" w:cs="Georgia"/>
        <w:b/>
        <w:i/>
      </w:rPr>
      <w:t>Family Hospice Care</w:t>
    </w:r>
    <w:r w:rsidR="006C5C6D">
      <w:rPr>
        <w:rFonts w:ascii="Georgia" w:hAnsi="Georgia" w:cs="Georgia"/>
        <w:b/>
        <w:i/>
      </w:rPr>
      <w:tab/>
      <w:t xml:space="preserve">Section 1, Policy 1.09   </w:t>
    </w:r>
  </w:p>
  <w:p w14:paraId="47B00E0F" w14:textId="0703A2D6" w:rsidR="006B3FE7" w:rsidRDefault="00000000">
    <w:pPr>
      <w:tabs>
        <w:tab w:val="right" w:pos="9000"/>
      </w:tabs>
      <w:jc w:val="center"/>
    </w:pPr>
    <w:r>
      <w:rPr>
        <w:rStyle w:val="PageNumber"/>
      </w:rPr>
      <w:tab/>
    </w: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r>
      <w:rPr>
        <w:rStyle w:val="PageNumber"/>
      </w:rPr>
      <w:t>/</w:t>
    </w:r>
    <w:r>
      <w:fldChar w:fldCharType="begin"/>
    </w:r>
    <w:r>
      <w:rPr>
        <w:rStyle w:val="PageNumber"/>
        <w:lang w:eastAsia="en-US"/>
      </w:rPr>
      <w:instrText xml:space="preserve"> SECTIONPAGES   \* MERGEFORMAT </w:instrText>
    </w:r>
    <w:r>
      <w:rPr>
        <w:rStyle w:val="PageNumber"/>
        <w:lang w:eastAsia="en-US"/>
      </w:rPr>
      <w:fldChar w:fldCharType="separate"/>
    </w:r>
    <w:r w:rsidR="00344747">
      <w:rPr>
        <w:rStyle w:val="PageNumber"/>
        <w:noProof/>
        <w:lang w:eastAsia="en-US"/>
      </w:rPr>
      <w:t>2</w:t>
    </w:r>
    <w:r>
      <w:rPr>
        <w:rStyle w:val="PageNumber"/>
        <w:lang w:eastAsia="en-US"/>
      </w:rPr>
      <w:fldChar w:fldCharType="end"/>
    </w:r>
  </w:p>
  <w:p w14:paraId="481823D3" w14:textId="77777777" w:rsidR="006B3FE7" w:rsidRDefault="006B3F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4596F"/>
    <w:multiLevelType w:val="multilevel"/>
    <w:tmpl w:val="8DC071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4E60E63"/>
    <w:multiLevelType w:val="multilevel"/>
    <w:tmpl w:val="DF242058"/>
    <w:lvl w:ilvl="0">
      <w:start w:val="1"/>
      <w:numFmt w:val="decimal"/>
      <w:lvlText w:val="%1."/>
      <w:lvlJc w:val="left"/>
      <w:pPr>
        <w:tabs>
          <w:tab w:val="num" w:pos="0"/>
        </w:tabs>
        <w:ind w:left="1170" w:hanging="360"/>
      </w:pPr>
      <w:rPr>
        <w:b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89420">
    <w:abstractNumId w:val="1"/>
  </w:num>
  <w:num w:numId="2" w16cid:durableId="1111239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hyphenationZone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FE7"/>
    <w:rsid w:val="0015313B"/>
    <w:rsid w:val="00344747"/>
    <w:rsid w:val="003C52F6"/>
    <w:rsid w:val="006B3FE7"/>
    <w:rsid w:val="006C5C6D"/>
    <w:rsid w:val="007730C1"/>
    <w:rsid w:val="009A6D9E"/>
    <w:rsid w:val="009C67C2"/>
    <w:rsid w:val="00B61FF5"/>
    <w:rsid w:val="00DC7E17"/>
    <w:rsid w:val="00EC3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B9AE6"/>
  <w15:docId w15:val="{27C8A0A2-67F6-437F-BEA0-EE00ADFF9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Garamond" w:eastAsia="Times New Roman" w:hAnsi="Garamond" w:cs="Garamond"/>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2z0">
    <w:name w:val="WW8Num2z0"/>
    <w:qFormat/>
    <w:rPr>
      <w:b w:val="0"/>
      <w:i w:val="0"/>
    </w:rPr>
  </w:style>
  <w:style w:type="character" w:customStyle="1" w:styleId="WW8Num3z0">
    <w:name w:val="WW8Num3z0"/>
    <w:qFormat/>
  </w:style>
  <w:style w:type="character" w:customStyle="1" w:styleId="WW8Num4z0">
    <w:name w:val="WW8Num4z0"/>
    <w:qFormat/>
  </w:style>
  <w:style w:type="character" w:customStyle="1" w:styleId="WW8Num5z0">
    <w:name w:val="WW8Num5z0"/>
    <w:qFormat/>
  </w:style>
  <w:style w:type="character" w:customStyle="1" w:styleId="WW8Num6z0">
    <w:name w:val="WW8Num6z0"/>
    <w:qFormat/>
    <w:rPr>
      <w:rFonts w:ascii="Symbol" w:hAnsi="Symbol" w:cs="Symbo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cs="Wingdings"/>
    </w:rPr>
  </w:style>
  <w:style w:type="character" w:customStyle="1" w:styleId="WW8Num7z0">
    <w:name w:val="WW8Num7z0"/>
    <w:qFormat/>
  </w:style>
  <w:style w:type="character" w:customStyle="1" w:styleId="WW8Num8z0">
    <w:name w:val="WW8Num8z0"/>
    <w:qFormat/>
    <w:rPr>
      <w:b w:val="0"/>
      <w:i w:val="0"/>
    </w:rPr>
  </w:style>
  <w:style w:type="character" w:customStyle="1" w:styleId="WW8Num9z0">
    <w:name w:val="WW8Num9z0"/>
    <w:qFormat/>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style>
  <w:style w:type="character" w:customStyle="1" w:styleId="WW8Num17z0">
    <w:name w:val="WW8Num17z0"/>
    <w:qFormat/>
  </w:style>
  <w:style w:type="character" w:customStyle="1" w:styleId="WW8Num18z0">
    <w:name w:val="WW8Num18z0"/>
    <w:qFormat/>
  </w:style>
  <w:style w:type="character" w:customStyle="1" w:styleId="WW8Num19z0">
    <w:name w:val="WW8Num19z0"/>
    <w:qFormat/>
  </w:style>
  <w:style w:type="character" w:customStyle="1" w:styleId="WW8Num20z0">
    <w:name w:val="WW8Num20z0"/>
    <w:qFormat/>
    <w:rPr>
      <w:b w:val="0"/>
    </w:rPr>
  </w:style>
  <w:style w:type="character" w:customStyle="1" w:styleId="WW8Num21z0">
    <w:name w:val="WW8Num21z0"/>
    <w:qFormat/>
  </w:style>
  <w:style w:type="character" w:customStyle="1" w:styleId="WW8Num22z0">
    <w:name w:val="WW8Num22z0"/>
    <w:qFormat/>
  </w:style>
  <w:style w:type="character" w:customStyle="1" w:styleId="WW8Num23z0">
    <w:name w:val="WW8Num23z0"/>
    <w:qFormat/>
  </w:style>
  <w:style w:type="character" w:customStyle="1" w:styleId="WW8Num24z0">
    <w:name w:val="WW8Num24z0"/>
    <w:qFormat/>
  </w:style>
  <w:style w:type="character" w:customStyle="1" w:styleId="WW8Num25z0">
    <w:name w:val="WW8Num25z0"/>
    <w:qFormat/>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styleId="PageNumber">
    <w:name w:val="page number"/>
    <w:basedOn w:val="DefaultParagraphFont"/>
  </w:style>
  <w:style w:type="character" w:customStyle="1" w:styleId="BalloonTextChar">
    <w:name w:val="Balloon Text Char"/>
    <w:qFormat/>
    <w:rPr>
      <w:rFonts w:ascii="Segoe UI" w:hAnsi="Segoe UI" w:cs="Segoe UI"/>
      <w:sz w:val="18"/>
      <w:szCs w:val="18"/>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qFormat/>
    <w:rPr>
      <w:rFonts w:ascii="Segoe UI" w:hAnsi="Segoe UI" w:cs="Segoe UI"/>
      <w:sz w:val="18"/>
      <w:szCs w:val="18"/>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857</Words>
  <Characters>4890</Characters>
  <Application>Microsoft Office Word</Application>
  <DocSecurity>0</DocSecurity>
  <Lines>40</Lines>
  <Paragraphs>11</Paragraphs>
  <ScaleCrop>false</ScaleCrop>
  <Company>Desert Oasis Healthcare</Company>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dc:title>
  <dc:subject/>
  <dc:creator>user</dc:creator>
  <cp:keywords/>
  <dc:description/>
  <cp:lastModifiedBy>Tracy Gordon MSN RN PHN</cp:lastModifiedBy>
  <cp:revision>2</cp:revision>
  <cp:lastPrinted>2022-09-08T15:28:00Z</cp:lastPrinted>
  <dcterms:created xsi:type="dcterms:W3CDTF">2026-10-12T01:39:00Z</dcterms:created>
  <dcterms:modified xsi:type="dcterms:W3CDTF">2026-10-12T01:39:00Z</dcterms:modified>
  <dc:language>en-US</dc:language>
</cp:coreProperties>
</file>